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Modern Sidebar Resume</dc:title>
  <dc:subject>Modern two-column resume sample</dc:subject>
  <dc:creator>Free Resume Template</dc:creator>
  <cp:keywords>resume, modern, sidebar, Word, DOCX, sales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Sales professional focused on clean pipeline discipline, customer value, and durable expansion outcomes.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Account planning</w:t>
            </w:r>
          </w:p>
          <w:p>
            <w:pPr>
              <w:pStyle w:val="SidebarBody"/>
            </w:pPr>
            <w:r>
              <w:t xml:space="preserve">Pipeline quality</w:t>
            </w:r>
          </w:p>
          <w:p>
            <w:pPr>
              <w:pStyle w:val="SidebarBody"/>
            </w:pPr>
            <w:r>
              <w:t xml:space="preserve">Forecasting</w:t>
            </w:r>
          </w:p>
          <w:p>
            <w:pPr>
              <w:pStyle w:val="SidebarBody"/>
            </w:pPr>
            <w:r>
              <w:t xml:space="preserve">Discovery</w:t>
            </w:r>
          </w:p>
          <w:p>
            <w:pPr>
              <w:pStyle w:val="SidebarBody"/>
            </w:pPr>
            <w:r>
              <w:t xml:space="preserve">Renewals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| Gong | LinkedIn Sales Nav | Excel | MEDDICC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B.S. Business Administration, Georgia State University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Revenue Account Manager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Sales professional with 8 years of experience improving pipeline quality, account expansion, discovery discipline, forecasting accuracy, and renewal outcomes.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Revenue Account Manager, VectorPoint SaaS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.8M in ARR across enterprise and mid-market accounts, achieving 112% of expansion target.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forecast quality through clean stage notes, close risks, and stakeholder maps.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customer success to support a 91% gross renewal rate.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Renewal Readiness Playbook: Added checkpoints for risk, proof, procurement, and alignment.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Pipeline Hygiene Dashboard: Reviewed next step, stage age, and close-plan quality.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