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Sales Leader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Sales Leader | Revenue Growth | Enterprise Accounts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Sales leader with a record of building pipeline, coaching teams, improving forecast discipline, and closing strategic accounts in competitive markets.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Enterprise sales, pipeline management, forecast accuracy, account planning</w:t>
      </w:r>
    </w:p>
    <w:p>
      <w:pPr>
        <w:ind w:left="360" w:hanging="180"/>
      </w:pPr>
      <w:r>
        <w:t>- Team coaching, CRM hygiene, negotiation, executive presentations</w:t>
      </w:r>
    </w:p>
    <w:p>
      <w:pPr>
        <w:ind w:left="360" w:hanging="180"/>
      </w:pPr>
      <w:r>
        <w:t>- Salesforce, territory planning, MEDDICC, revenue reporting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Regional Sales Manager | Horizon Cloud | 2020-Present</w:t>
      </w:r>
    </w:p>
    <w:p>
      <w:pPr>
        <w:ind w:left="360" w:hanging="180"/>
      </w:pPr>
      <w:r>
        <w:t>- Led eight account executives to 118% of annual quota and $9.4M in new annual recurring revenue.</w:t>
      </w:r>
    </w:p>
    <w:p>
      <w:pPr>
        <w:ind w:left="360" w:hanging="180"/>
      </w:pPr>
      <w:r>
        <w:t>- Improved forecast accuracy from 71% to 89% by introducing stage criteria and deal review cadence.</w:t>
      </w:r>
    </w:p>
    <w:p>
      <w:pPr>
        <w:ind w:left="360" w:hanging="180"/>
      </w:pPr>
      <w:r>
        <w:t>- Closed three strategic accounts valued above $750K ARR each.</w:t>
      </w:r>
    </w:p>
    <w:p>
      <w:pPr>
        <w:pStyle w:val="Subtitle"/>
      </w:pPr>
      <w:r>
        <w:t>Senior Account Executive | NovaTech | 2017-2020</w:t>
      </w:r>
    </w:p>
    <w:p>
      <w:pPr>
        <w:ind w:left="360" w:hanging="180"/>
      </w:pPr>
      <w:r>
        <w:t>- Built a $4M pipeline across enterprise accounts through outbound prospecting and partner referrals.</w:t>
      </w:r>
    </w:p>
    <w:p>
      <w:pPr>
        <w:ind w:left="360" w:hanging="180"/>
      </w:pPr>
      <w:r>
        <w:t>- Exceeded quota for nine consecutive quarters.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Created an onboarding playbook that reduced ramp time for new sellers.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B.S. Business Administration, Western University</w:t>
      </w:r>
    </w:p>
    <w:p>
      <w:pPr>
        <w:ind w:left="360" w:hanging="180"/>
      </w:pPr>
      <w:r>
        <w:t>- Certified Sales Leadership Professional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