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Legal Operations Assistant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Legal support professional with precise document control, deadline tracking, case file organization, and client communication habits.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Legal Operations Assistant - Meridian &amp; Co. | 2022-Present</w:t>
      </w:r>
    </w:p>
    <w:p>
      <w:pPr>
        <w:pStyle w:val="Bullet"/>
      </w:pPr>
      <w:r>
        <w:t>- Maintained case calendars, filing checklists, and client records with consistent naming and version-control standards.</w:t>
      </w:r>
    </w:p>
    <w:p>
      <w:pPr>
        <w:pStyle w:val="Bullet"/>
      </w:pPr>
      <w:r>
        <w:t>- Prepared discovery packets, correspondence, and matter updates for attorney review under tight filing deadlines.</w:t>
      </w:r>
    </w:p>
    <w:p>
      <w:pPr>
        <w:pStyle w:val="Bullet"/>
      </w:pPr>
      <w:r>
        <w:t>- Improved intake routing by separating urgent requests, missing documents, and routine status questions.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334155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334155"/>
    </w:rPr>
    <w:pPr>
      <w:spacing w:before="160" w:after="80"/>
      <w:pBdr>
        <w:bottom w:val="single" w:sz="8" w:space="4" w:color="334155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