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Modern Sidebar Resume</dc:title>
  <dc:subject>Modern two-column resume sample</dc:subject>
  <dc:creator>Free Resume Template</dc:creator>
  <cp:keywords>resume, modern, sidebar, Word, DOCX, healthcare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Healthcare coordinator focused on patient flow, accurate documentation, and calm care-team communication.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Patient scheduling</w:t>
            </w:r>
          </w:p>
          <w:p>
            <w:pPr>
              <w:pStyle w:val="SidebarBody"/>
            </w:pPr>
            <w:r>
              <w:t xml:space="preserve">EHR documentation</w:t>
            </w:r>
          </w:p>
          <w:p>
            <w:pPr>
              <w:pStyle w:val="SidebarBody"/>
            </w:pPr>
            <w:r>
              <w:t xml:space="preserve">Referral tracking</w:t>
            </w:r>
          </w:p>
          <w:p>
            <w:pPr>
              <w:pStyle w:val="SidebarBody"/>
            </w:pPr>
            <w:r>
              <w:t xml:space="preserve">Insurance checks</w:t>
            </w:r>
          </w:p>
          <w:p>
            <w:pPr>
              <w:pStyle w:val="SidebarBody"/>
            </w:pPr>
            <w:r>
              <w:t xml:space="preserve">HIPAA workflow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Epic | Excel | Google Workspace | Phone triage | EHR systems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B.S. Health Services Administration, University of Illinois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Clinical Operations Coordinator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Healthcare operations professional with 7 years of experience improving patient scheduling, referral follow-up, clinical documentation, and care-team coordination.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Clinical Operations Coordinator, Lakeside Medical Group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daily schedules for 55+ patients while improving pre-visit readiness and insurance follow-up.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missed referral tasks by 24% with a shared tracker for labs, authorizations, and callbacks.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clinical staff to close intake gaps before provider review.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Referral Tracking Reset: Rebuilt status labels and owner rules for aging requests.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Patient Callback Queue: Added priority codes for urgent and routine follow-ups.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