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Level Modern Sidebar Resume</dc:title>
  <dc:subject>Modern two-column resume sample</dc:subject>
  <dc:creator>Free Resume Template</dc:creator>
  <cp:keywords>resume, modern, sidebar, Word, DOCX, executive-level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Executive operator who aligns strategy, capacity, performance systems, and leadership accountability.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Executive leadership</w:t>
            </w:r>
          </w:p>
          <w:p>
            <w:pPr>
              <w:pStyle w:val="SidebarBody"/>
            </w:pPr>
            <w:r>
              <w:t xml:space="preserve">Operating plans</w:t>
            </w:r>
          </w:p>
          <w:p>
            <w:pPr>
              <w:pStyle w:val="SidebarBody"/>
            </w:pPr>
            <w:r>
              <w:t xml:space="preserve">Org design</w:t>
            </w:r>
          </w:p>
          <w:p>
            <w:pPr>
              <w:pStyle w:val="SidebarBody"/>
            </w:pPr>
            <w:r>
              <w:t xml:space="preserve">Performance systems</w:t>
            </w:r>
          </w:p>
          <w:p>
            <w:pPr>
              <w:pStyle w:val="SidebarBody"/>
            </w:pPr>
            <w:r>
              <w:t xml:space="preserve">Board reporting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Power BI | Tableau | Excel | Workday | Salesforce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MBA, Stanford Graduate School of Business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Vice President of Operations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Executive operations leader with 15 years of experience directing operating plans, performance systems, organizational planning, and scalable execution.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Vice President of Operations, Atlas Product Group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Directed operating plans across product, customer, finance, and operations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Established dashboards connecting strategic goals to execution metrics, owners, and corrective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senior managers through organizational planning and process redesign during scaling.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Operating System: Built a monthly rhythm for metrics, decisions, risks, and accountability.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Capacity Planning Model: Linked hiring, budget, and strategic priorities.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