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Careers Linear Chronicle Resume</dc:title>
  <dc:subject>Single-column black-and-white resume sample</dc:subject>
  <dc:creator>Free Resume Template</dc:creator>
  <cp:keywords>resume, linear chronicle, single column, Word, DOCX, creative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Creative producer with 8 years of experience managing brand campaigns, digital assets, vendor timelines, and portfolio-ready work from concept through delivery.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Creative Producer at Studio North Creative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Produced 14 brand and digital campaigns per year across creative direction, reviews, and final delivery.</w:t>
      </w:r>
    </w:p>
    <w:p>
      <w:pPr>
        <w:pStyle w:val="Bullet"/>
        <w:numPr>
          <w:ilvl w:val="0"/>
          <w:numId w:val="1"/>
        </w:numPr>
      </w:pPr>
      <w:r>
        <w:t xml:space="preserve">Reduced revision cycles by 22% with clearer briefs, approval milestones, and handoff standards.</w:t>
      </w:r>
    </w:p>
    <w:p>
      <w:pPr>
        <w:pStyle w:val="Bullet"/>
        <w:numPr>
          <w:ilvl w:val="0"/>
          <w:numId w:val="1"/>
        </w:numPr>
      </w:pPr>
      <w:r>
        <w:t xml:space="preserve">Managed vendor timelines and usage rights for photo, video, design, and social deliverables.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B.F.A. Design Management, California State University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Creative production, Brand campaigns, Brief writing, Vendor coordination, Asset delivery,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